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2006 1 vom 17. März 2006</w:t>
      </w:r>
    </w:p>
    <w:p>
      <w:r>
        <w:t>GR Gerichte, 2006-03-17, DE</w:t>
      </w:r>
    </w:p>
    <w:p>
      <w:r>
        <w:rPr>
          <w:b/>
        </w:rPr>
        <w:t xml:space="preserve">Quelle: </w:t>
      </w:r>
      <w:r>
        <w:t>https://mcp.opencaselaw.ch/entscheid/gr_gerichte_V 2006 1</w:t>
      </w:r>
    </w:p>
    <w:p>
      <w:r>
        <w:t>FR: GR_GERICHTE V 2006 1 du 17 mars 2006</w:t>
      </w:r>
    </w:p>
    <w:p>
      <w:r>
        <w:t>IT: GR_GERICHTE V 2006 1 del 17 marzo 2006</w:t>
      </w:r>
    </w:p>
    <w:p>
      <w:pPr>
        <w:pStyle w:val="Heading2"/>
      </w:pPr>
      <w:r>
        <w:t>Regeste</w:t>
      </w:r>
    </w:p>
    <w:p>
      <w:r>
        <w:t>Abstimmungsbeschwerde | politische Rechte</w:t>
      </w:r>
    </w:p>
    <w:p>
      <w:pPr>
        <w:pStyle w:val="Heading2"/>
      </w:pPr>
      <w:r>
        <w:t>Erwägungen</w:t>
      </w:r>
    </w:p>
    <w:p>
      <w:r>
        <w:rPr>
          <w:b/>
        </w:rPr>
        <w:t>E. 1</w:t>
      </w:r>
    </w:p>
    <w:p>
      <w:r>
        <w:t>Am 27. November 2005 fand in … die Urnenabstimmung über ein neues Gesetz über Ruhe und Ordnung sowie einen Nachtrag zum Gastwirtschaftsgesetz statt. Die Abstimmungsresultate wurden am 29. November 2005 im amtlichen Publikationsorgan der Gemeinde veröffentlicht. Beide Vorlagen wurden mit 1992 Ja zu 764 Nein bzw. 1743 Ja zu 953 Nein angenommen. In der Folge verlangte der Stimmberechtigte … eine Nachzählung der Ergebnisse. Dieses Begehren behandelte der Kleine Landrat als Beschwerde und wies es mit Beschluss vom 13. Dezember 2005 im Sinne der Erwägungen ab.</w:t>
      </w:r>
    </w:p>
    <w:p>
      <w:r>
        <w:rPr>
          <w:b/>
        </w:rPr>
        <w:t>E. 2</w:t>
      </w:r>
    </w:p>
    <w:p>
      <w:r>
        <w:t>Dagegen erhob … am 11. Januar 2006 eine Abstimmungsbeschwerde, mit welcher er wiederum eine Überprüfung des Abstimmungsresultates verlangte, weil im Gesetzgebungsprozess Unregelmässigkeiten vorgekommen seien. Die Gemeinde habe im Herbst 2004 eine Vorvernehmlassung zum Thema durchgeführt, deren Ergebnis ernüchternd gewesen sei. Im Juni 2005 sei zu einer weiteren Vernehmlassung eingeladen worden. Viele Betroffene seien aber nicht eingeladen worden, z.B. … mit ihren Betrieben. Auch die Vernehmlassungsfrist sei nur sehr kurz gewesen. Man hätte gemäss SR 172.061 das Ergebnis der Vernehmlassung zur Kenntnis nehmen, auswerten und gewichten müssen. In der Botschaft seien zwei Drittel der Vernehmlassungen nicht erwähnt worden. Viele Eingeladene seien gegen die Wiedereinführung der Polizeistunde gewesen und viele Stimmbürger seien erstaunt gewesen über das Abstimmungsergebnis.</w:t>
      </w:r>
    </w:p>
    <w:p>
      <w:r>
        <w:rPr>
          <w:b/>
        </w:rPr>
        <w:t>E. 3</w:t>
      </w:r>
    </w:p>
    <w:p>
      <w:r>
        <w:t>Bei diesem Ausgang gehen die Verfahrenskosten zulasten des Beschwerdeführers. Eine Parteientschädigung ist der Gemeinde praxisgemäss nicht zuzusprechen. Demnach erkennt das Gericht: 1. Die Beschwerde wird abgewiesen. 2. Die Gerichtskosten, bestehend - aus einer Staatsgebühr von Fr. 800.-- - und den Kanzleiauslagen von Fr. 119.-- zusammen Fr. 919.--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